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51D55B97" w:rsidR="00094EB7" w:rsidRPr="00CE0424" w:rsidRDefault="00094EB7" w:rsidP="00094EB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E756DA"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E34656">
        <w:t>8</w:t>
      </w:r>
      <w:r w:rsidR="000A4A13">
        <w:rPr>
          <w:lang w:val="en-IN"/>
        </w:rPr>
        <w:t>-bis</w:t>
      </w:r>
      <w:r w:rsidRPr="00CE0424">
        <w:tab/>
      </w:r>
      <w:r w:rsidRPr="00862273">
        <w:rPr>
          <w:sz w:val="32"/>
          <w:szCs w:val="32"/>
        </w:rPr>
        <w:t>R4-</w:t>
      </w:r>
      <w:r w:rsidR="000F13ED" w:rsidRPr="00862273">
        <w:rPr>
          <w:sz w:val="32"/>
          <w:szCs w:val="32"/>
        </w:rPr>
        <w:t>23</w:t>
      </w:r>
      <w:r w:rsidR="00FC7F1E" w:rsidRPr="00862273">
        <w:rPr>
          <w:sz w:val="32"/>
          <w:szCs w:val="32"/>
        </w:rPr>
        <w:t>15445</w:t>
      </w:r>
    </w:p>
    <w:p w14:paraId="49149131" w14:textId="50C83837" w:rsidR="00094EB7" w:rsidRPr="007124EE" w:rsidRDefault="000A4A13" w:rsidP="00094EB7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>
        <w:rPr>
          <w:rFonts w:eastAsiaTheme="minorEastAsia" w:cs="Arial"/>
          <w:b/>
          <w:sz w:val="24"/>
          <w:szCs w:val="24"/>
        </w:rPr>
        <w:t>Xiamen, China</w:t>
      </w:r>
      <w:r w:rsidR="00094EB7" w:rsidRPr="007124EE">
        <w:rPr>
          <w:rFonts w:eastAsiaTheme="minorEastAsia"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October</w:t>
      </w:r>
      <w:r w:rsidR="00E3465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9</w:t>
      </w:r>
      <w:r w:rsidR="00E34656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13</w:t>
      </w:r>
      <w:r w:rsidR="00094EB7" w:rsidRPr="007124EE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CE0424" w:rsidRDefault="00094EB7" w:rsidP="00094EB7">
      <w:pPr>
        <w:pStyle w:val="3GPPHeader"/>
      </w:pPr>
    </w:p>
    <w:p w14:paraId="2F7870D0" w14:textId="74DD40B9" w:rsidR="00094EB7" w:rsidRPr="00BF0AAB" w:rsidRDefault="00094EB7" w:rsidP="00094EB7">
      <w:pPr>
        <w:pStyle w:val="3GPPHeader"/>
        <w:rPr>
          <w:sz w:val="22"/>
        </w:rPr>
      </w:pPr>
      <w:r w:rsidRPr="00BF0AAB">
        <w:rPr>
          <w:sz w:val="22"/>
        </w:rPr>
        <w:t>Agenda Item:</w:t>
      </w:r>
      <w:r w:rsidRPr="00BF0AAB">
        <w:rPr>
          <w:sz w:val="22"/>
        </w:rPr>
        <w:tab/>
      </w:r>
      <w:r w:rsidR="00BF0AAB" w:rsidRPr="009E54B5">
        <w:rPr>
          <w:sz w:val="22"/>
        </w:rPr>
        <w:t>5</w:t>
      </w:r>
      <w:r w:rsidR="00A656C3" w:rsidRPr="009E54B5">
        <w:rPr>
          <w:sz w:val="22"/>
        </w:rPr>
        <w:t>.13.</w:t>
      </w:r>
      <w:r w:rsidR="00BF0AAB" w:rsidRPr="009E54B5">
        <w:rPr>
          <w:sz w:val="22"/>
        </w:rPr>
        <w:t>1</w:t>
      </w:r>
      <w:r w:rsidR="000A4A13" w:rsidRPr="009E54B5">
        <w:rPr>
          <w:sz w:val="22"/>
        </w:rPr>
        <w:t>.</w:t>
      </w:r>
      <w:r w:rsidR="00BF0AAB" w:rsidRPr="009E54B5">
        <w:rPr>
          <w:sz w:val="22"/>
        </w:rPr>
        <w:t>3</w:t>
      </w:r>
    </w:p>
    <w:p w14:paraId="3A8CA657" w14:textId="77777777" w:rsidR="00094EB7" w:rsidRPr="00BF0AAB" w:rsidRDefault="00094EB7" w:rsidP="00094EB7">
      <w:pPr>
        <w:pStyle w:val="3GPPHeader"/>
        <w:rPr>
          <w:sz w:val="22"/>
        </w:rPr>
      </w:pPr>
      <w:r w:rsidRPr="00BF0AAB">
        <w:rPr>
          <w:sz w:val="22"/>
        </w:rPr>
        <w:t>Source:</w:t>
      </w:r>
      <w:r w:rsidRPr="00BF0AAB">
        <w:rPr>
          <w:sz w:val="22"/>
        </w:rPr>
        <w:tab/>
        <w:t>Ericsson</w:t>
      </w:r>
    </w:p>
    <w:p w14:paraId="40D63C16" w14:textId="0D1C5396" w:rsidR="00094EB7" w:rsidRPr="00BF0AAB" w:rsidRDefault="00094EB7" w:rsidP="00094EB7">
      <w:pPr>
        <w:pStyle w:val="3GPPHeader"/>
        <w:rPr>
          <w:sz w:val="22"/>
        </w:rPr>
      </w:pPr>
      <w:r w:rsidRPr="00BF0AAB">
        <w:rPr>
          <w:sz w:val="22"/>
        </w:rPr>
        <w:t>Title:</w:t>
      </w:r>
      <w:r w:rsidRPr="00BF0AAB">
        <w:rPr>
          <w:sz w:val="22"/>
        </w:rPr>
        <w:tab/>
        <w:t>Co-existence simulation results</w:t>
      </w:r>
      <w:r w:rsidR="0014626D" w:rsidRPr="00BF0AAB">
        <w:rPr>
          <w:sz w:val="22"/>
        </w:rPr>
        <w:t xml:space="preserve"> for </w:t>
      </w:r>
      <w:r w:rsidR="000A4A13" w:rsidRPr="00BF0AAB">
        <w:rPr>
          <w:sz w:val="22"/>
        </w:rPr>
        <w:t>non-</w:t>
      </w:r>
      <w:r w:rsidR="0014626D" w:rsidRPr="00BF0AAB">
        <w:rPr>
          <w:sz w:val="22"/>
        </w:rPr>
        <w:t>synchronized scenarios</w:t>
      </w:r>
    </w:p>
    <w:p w14:paraId="75CBE1B8" w14:textId="6708DF68" w:rsidR="00094EB7" w:rsidRPr="00BF0AAB" w:rsidRDefault="00094EB7" w:rsidP="00094EB7">
      <w:pPr>
        <w:pStyle w:val="3GPPHeader"/>
        <w:rPr>
          <w:sz w:val="22"/>
          <w:lang w:val="en-IN"/>
        </w:rPr>
      </w:pPr>
      <w:r w:rsidRPr="00BF0AAB">
        <w:rPr>
          <w:sz w:val="22"/>
        </w:rPr>
        <w:t>Type:</w:t>
      </w:r>
      <w:r w:rsidRPr="00BF0AAB">
        <w:rPr>
          <w:sz w:val="22"/>
        </w:rPr>
        <w:tab/>
      </w:r>
      <w:r w:rsidR="00FE4C8B" w:rsidRPr="00BF0AAB">
        <w:rPr>
          <w:sz w:val="22"/>
        </w:rPr>
        <w:t>Discussion</w:t>
      </w:r>
    </w:p>
    <w:p w14:paraId="299F45DC" w14:textId="5A6F8FB1" w:rsidR="00094EB7" w:rsidRPr="00CE0424" w:rsidRDefault="00094EB7" w:rsidP="00094EB7">
      <w:pPr>
        <w:pStyle w:val="3GPPHeader"/>
        <w:rPr>
          <w:sz w:val="22"/>
        </w:rPr>
      </w:pPr>
      <w:r w:rsidRPr="00BF0AAB">
        <w:rPr>
          <w:sz w:val="22"/>
        </w:rPr>
        <w:t>Document for:</w:t>
      </w:r>
      <w:r w:rsidRPr="00BF0AAB">
        <w:rPr>
          <w:sz w:val="22"/>
        </w:rPr>
        <w:tab/>
      </w:r>
      <w:r w:rsidR="00FE4C8B" w:rsidRPr="00BF0AAB">
        <w:rPr>
          <w:sz w:val="22"/>
        </w:rPr>
        <w:t>Discussion</w:t>
      </w:r>
    </w:p>
    <w:p w14:paraId="6B2D159E" w14:textId="77777777" w:rsidR="00FE276B" w:rsidRPr="00300A24" w:rsidRDefault="00FE276B" w:rsidP="00FE276B"/>
    <w:p w14:paraId="3BA35139" w14:textId="77777777" w:rsidR="00FE276B" w:rsidRPr="00300A24" w:rsidRDefault="00FE276B" w:rsidP="00FE276B">
      <w:pPr>
        <w:pStyle w:val="Heading1"/>
        <w:rPr>
          <w:lang w:val="en-US"/>
        </w:rPr>
        <w:sectPr w:rsidR="00FE276B" w:rsidRPr="00300A24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D164254" w14:textId="04A5D86D" w:rsidR="00B66D24" w:rsidRDefault="00604627" w:rsidP="00FE579C">
      <w:pPr>
        <w:pStyle w:val="Heading1"/>
      </w:pPr>
      <w:bookmarkStart w:id="0" w:name="_Ref178064866"/>
      <w:r>
        <w:t>1</w:t>
      </w:r>
      <w:r>
        <w:tab/>
      </w:r>
      <w:r w:rsidRPr="00CE0424">
        <w:t>Introduction</w:t>
      </w:r>
    </w:p>
    <w:p w14:paraId="710FCE87" w14:textId="6FA8A739" w:rsidR="006868FE" w:rsidRPr="0014411B" w:rsidRDefault="0099645C" w:rsidP="00645F81">
      <w:pPr>
        <w:jc w:val="both"/>
        <w:rPr>
          <w:lang w:val="en-IN" w:eastAsia="ja-JP"/>
        </w:rPr>
      </w:pPr>
      <w:r>
        <w:rPr>
          <w:lang w:val="en-IN" w:eastAsia="ja-JP"/>
        </w:rPr>
        <w:br/>
      </w:r>
      <w:r w:rsidR="00A02BE7">
        <w:rPr>
          <w:lang w:val="en-IN" w:eastAsia="ja-JP"/>
        </w:rPr>
        <w:t xml:space="preserve">In this document, </w:t>
      </w:r>
      <w:r w:rsidR="00D70847">
        <w:rPr>
          <w:lang w:val="en-IN" w:eastAsia="ja-JP"/>
        </w:rPr>
        <w:t>w</w:t>
      </w:r>
      <w:r w:rsidR="00A02BE7">
        <w:rPr>
          <w:lang w:val="en-IN" w:eastAsia="ja-JP"/>
        </w:rPr>
        <w:t xml:space="preserve">e </w:t>
      </w:r>
      <w:r w:rsidR="00D70847">
        <w:rPr>
          <w:lang w:val="en-IN" w:eastAsia="ja-JP"/>
        </w:rPr>
        <w:t>present</w:t>
      </w:r>
      <w:r w:rsidR="00A02BE7">
        <w:rPr>
          <w:lang w:val="en-IN" w:eastAsia="ja-JP"/>
        </w:rPr>
        <w:t xml:space="preserve"> our</w:t>
      </w:r>
      <w:r w:rsidR="00C3535C">
        <w:rPr>
          <w:lang w:val="en-IN" w:eastAsia="ja-JP"/>
        </w:rPr>
        <w:t xml:space="preserve"> </w:t>
      </w:r>
      <w:r w:rsidR="00B70E3C">
        <w:rPr>
          <w:lang w:val="en-IN" w:eastAsia="ja-JP"/>
        </w:rPr>
        <w:t xml:space="preserve">preliminary </w:t>
      </w:r>
      <w:r w:rsidR="00A02BE7">
        <w:rPr>
          <w:lang w:val="en-IN" w:eastAsia="ja-JP"/>
        </w:rPr>
        <w:t xml:space="preserve">co-existence simulation results for </w:t>
      </w:r>
      <w:r w:rsidR="00C3535C">
        <w:rPr>
          <w:lang w:val="en-IN" w:eastAsia="ja-JP"/>
        </w:rPr>
        <w:t>non-</w:t>
      </w:r>
      <w:r w:rsidR="00A02BE7">
        <w:rPr>
          <w:lang w:val="en-IN" w:eastAsia="ja-JP"/>
        </w:rPr>
        <w:t>synchronized scenarios</w:t>
      </w:r>
      <w:r w:rsidR="00D70847">
        <w:rPr>
          <w:lang w:val="en-IN" w:eastAsia="ja-JP"/>
        </w:rPr>
        <w:t xml:space="preserve">. </w:t>
      </w:r>
      <w:r w:rsidR="00E5477A">
        <w:rPr>
          <w:lang w:val="en-IN" w:eastAsia="ja-JP"/>
        </w:rPr>
        <w:t xml:space="preserve">We focus on the results </w:t>
      </w:r>
      <w:r w:rsidR="001277DA">
        <w:rPr>
          <w:lang w:val="en-IN" w:eastAsia="ja-JP"/>
        </w:rPr>
        <w:t xml:space="preserve">using the </w:t>
      </w:r>
      <w:r w:rsidR="00AA5C3C">
        <w:rPr>
          <w:lang w:val="en-IN" w:eastAsia="ja-JP"/>
        </w:rPr>
        <w:t>Free Space</w:t>
      </w:r>
      <w:r w:rsidR="001277DA">
        <w:rPr>
          <w:lang w:val="en-IN" w:eastAsia="ja-JP"/>
        </w:rPr>
        <w:t xml:space="preserve"> </w:t>
      </w:r>
      <w:r w:rsidR="00AA5C3C">
        <w:rPr>
          <w:lang w:val="en-IN" w:eastAsia="ja-JP"/>
        </w:rPr>
        <w:t>P</w:t>
      </w:r>
      <w:r w:rsidR="001277DA">
        <w:rPr>
          <w:lang w:val="en-IN" w:eastAsia="ja-JP"/>
        </w:rPr>
        <w:t xml:space="preserve">athloss </w:t>
      </w:r>
      <w:r w:rsidR="0063725D">
        <w:rPr>
          <w:lang w:val="en-IN" w:eastAsia="ja-JP"/>
        </w:rPr>
        <w:t xml:space="preserve">channel </w:t>
      </w:r>
      <w:r w:rsidR="001277DA">
        <w:rPr>
          <w:lang w:val="en-IN" w:eastAsia="ja-JP"/>
        </w:rPr>
        <w:t>model</w:t>
      </w:r>
      <w:r w:rsidR="00301D08">
        <w:rPr>
          <w:lang w:val="en-IN" w:eastAsia="ja-JP"/>
        </w:rPr>
        <w:t xml:space="preserve"> between TN BS and ATG BS</w:t>
      </w:r>
      <w:r w:rsidR="001277DA">
        <w:rPr>
          <w:lang w:val="en-IN" w:eastAsia="ja-JP"/>
        </w:rPr>
        <w:t xml:space="preserve">. </w:t>
      </w:r>
      <w:r w:rsidR="00892C95">
        <w:rPr>
          <w:lang w:val="en-IN" w:eastAsia="ja-JP"/>
        </w:rPr>
        <w:t>Our companion contribution</w:t>
      </w:r>
      <w:r w:rsidR="001B17DD">
        <w:rPr>
          <w:lang w:val="en-IN" w:eastAsia="ja-JP"/>
        </w:rPr>
        <w:t xml:space="preserve"> [</w:t>
      </w:r>
      <w:r w:rsidR="00507EE5">
        <w:rPr>
          <w:lang w:val="en-IN" w:eastAsia="ja-JP"/>
        </w:rPr>
        <w:t>1</w:t>
      </w:r>
      <w:r w:rsidR="001B17DD">
        <w:rPr>
          <w:lang w:val="en-IN" w:eastAsia="ja-JP"/>
        </w:rPr>
        <w:t>]</w:t>
      </w:r>
      <w:r w:rsidR="00892C95">
        <w:rPr>
          <w:lang w:val="en-IN" w:eastAsia="ja-JP"/>
        </w:rPr>
        <w:t xml:space="preserve"> briefly highlights</w:t>
      </w:r>
      <w:r w:rsidR="001B17DD">
        <w:rPr>
          <w:lang w:val="en-IN" w:eastAsia="ja-JP"/>
        </w:rPr>
        <w:t xml:space="preserve"> our thoughts on the channel models. </w:t>
      </w:r>
    </w:p>
    <w:p w14:paraId="3516D558" w14:textId="3942BC53" w:rsidR="00C44143" w:rsidRDefault="00C44143" w:rsidP="00C44143">
      <w:pPr>
        <w:pStyle w:val="Heading1"/>
      </w:pPr>
      <w:bookmarkStart w:id="1" w:name="_Ref189046994"/>
      <w:bookmarkEnd w:id="0"/>
      <w:r>
        <w:t>2</w:t>
      </w:r>
      <w:r>
        <w:tab/>
      </w:r>
      <w:bookmarkEnd w:id="1"/>
      <w:r w:rsidR="005334B6">
        <w:t>Discussion</w:t>
      </w:r>
    </w:p>
    <w:p w14:paraId="32C56870" w14:textId="77777777" w:rsidR="002A4EBC" w:rsidRDefault="002A4EBC" w:rsidP="002A4EBC"/>
    <w:p w14:paraId="49672FD0" w14:textId="30B0E295" w:rsidR="00211ACD" w:rsidRPr="00862273" w:rsidRDefault="0071380C" w:rsidP="00862273">
      <w:pPr>
        <w:pStyle w:val="Heading2"/>
        <w:jc w:val="both"/>
        <w:rPr>
          <w:rFonts w:cs="Arial"/>
          <w:lang w:val="en-IN"/>
        </w:rPr>
      </w:pPr>
      <w:r>
        <w:rPr>
          <w:rFonts w:cs="Arial"/>
        </w:rPr>
        <w:t xml:space="preserve">Pre-liminary </w:t>
      </w:r>
      <w:r w:rsidR="00211ACD" w:rsidRPr="00F648FD">
        <w:rPr>
          <w:rFonts w:cs="Arial"/>
        </w:rPr>
        <w:t>simulation results</w:t>
      </w:r>
      <w:r w:rsidR="002D2C7F">
        <w:rPr>
          <w:rFonts w:cs="Arial"/>
        </w:rPr>
        <w:t xml:space="preserve"> for non</w:t>
      </w:r>
      <w:r w:rsidR="002D2C7F">
        <w:rPr>
          <w:rFonts w:cs="Arial"/>
          <w:lang w:val="en-IN"/>
        </w:rPr>
        <w:t>-synchronize</w:t>
      </w:r>
      <w:r>
        <w:rPr>
          <w:rFonts w:cs="Arial"/>
          <w:lang w:val="en-IN"/>
        </w:rPr>
        <w:t xml:space="preserve">d </w:t>
      </w:r>
      <w:r w:rsidR="002D2C7F">
        <w:rPr>
          <w:rFonts w:cs="Arial"/>
          <w:lang w:val="en-IN"/>
        </w:rPr>
        <w:t>scenarios</w:t>
      </w:r>
    </w:p>
    <w:p w14:paraId="16A21A21" w14:textId="1303C1C3" w:rsidR="00211ACD" w:rsidRPr="00E7364E" w:rsidRDefault="005567B8" w:rsidP="00211ACD">
      <w:r>
        <w:t xml:space="preserve">This section discusses the impact of boresight angles </w:t>
      </w:r>
      <w:r w:rsidR="00862626">
        <w:t xml:space="preserve">– 0, 30 and 60 degrees between TN and ATG BS, with </w:t>
      </w:r>
      <w:r w:rsidR="00A60843">
        <w:t>no TN wrap around</w:t>
      </w:r>
      <w:r w:rsidR="004D63F7">
        <w:t xml:space="preserve"> as agreed in the WF [</w:t>
      </w:r>
      <w:r w:rsidR="00507EE5">
        <w:t>2</w:t>
      </w:r>
      <w:r w:rsidR="004D63F7">
        <w:t>]</w:t>
      </w:r>
      <w:r w:rsidR="00A60843">
        <w:t xml:space="preserve">. The deployment layout </w:t>
      </w:r>
      <w:r w:rsidR="003A3E99">
        <w:t>[</w:t>
      </w:r>
      <w:r w:rsidR="00507EE5">
        <w:t>2</w:t>
      </w:r>
      <w:r w:rsidR="003A3E99">
        <w:t xml:space="preserve">] </w:t>
      </w:r>
      <w:r w:rsidR="000D1F5D">
        <w:t xml:space="preserve">has been shared in our companion contribution highlighting the importance </w:t>
      </w:r>
      <w:r w:rsidR="009F380B">
        <w:t xml:space="preserve">of boresight angles, in considering the </w:t>
      </w:r>
      <w:r w:rsidR="0064202E">
        <w:t>worst-case</w:t>
      </w:r>
      <w:r w:rsidR="009F380B">
        <w:t xml:space="preserve"> scenarios. </w:t>
      </w:r>
      <w:r w:rsidR="00D60F8F">
        <w:t xml:space="preserve">The </w:t>
      </w:r>
      <w:r w:rsidR="007D5A10">
        <w:t xml:space="preserve">common </w:t>
      </w:r>
      <w:r w:rsidR="00D60F8F">
        <w:t xml:space="preserve">simulation settings can be found </w:t>
      </w:r>
      <w:r w:rsidR="0032582B">
        <w:t>in the TR [</w:t>
      </w:r>
      <w:r w:rsidR="00507EE5">
        <w:t>3</w:t>
      </w:r>
      <w:r w:rsidR="0032582B">
        <w:t>]</w:t>
      </w:r>
      <w:r w:rsidR="00CB6F9A">
        <w:t xml:space="preserve">. For the results in the following sections, we have assumed </w:t>
      </w:r>
      <w:r w:rsidR="00062AC6">
        <w:t xml:space="preserve">uniform distribution for ATG UEs between 3 and 10 km in altitude, 8-column non-subarray TN and ATG BS </w:t>
      </w:r>
      <w:r w:rsidR="00906223">
        <w:t>antennas and 16x1 array ATG UE antennas.</w:t>
      </w:r>
      <w:r w:rsidR="006A1354">
        <w:t xml:space="preserve"> We have only focused on the FSPL model </w:t>
      </w:r>
      <w:r w:rsidR="000E315B">
        <w:t xml:space="preserve">as agreed in the TR [3] </w:t>
      </w:r>
      <w:r w:rsidR="00507EE5">
        <w:t>and questioned on the validity of the RMa model</w:t>
      </w:r>
      <w:r w:rsidR="000E315B">
        <w:t xml:space="preserve"> proposed in offline email discussions</w:t>
      </w:r>
      <w:r w:rsidR="00507EE5">
        <w:t xml:space="preserve"> </w:t>
      </w:r>
      <w:r w:rsidR="00CC31ED">
        <w:t xml:space="preserve">and </w:t>
      </w:r>
      <w:r w:rsidR="00507EE5">
        <w:t>in our companion contribution [1].</w:t>
      </w:r>
    </w:p>
    <w:p w14:paraId="5E7D0691" w14:textId="77777777" w:rsidR="002D2FC6" w:rsidRPr="00384850" w:rsidRDefault="002D2FC6" w:rsidP="002D2FC6"/>
    <w:p w14:paraId="7D71D937" w14:textId="564CD6CE" w:rsidR="002D2FC6" w:rsidRPr="00862273" w:rsidRDefault="002D2FC6" w:rsidP="002D2FC6">
      <w:pPr>
        <w:pStyle w:val="Heading4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862273">
        <w:rPr>
          <w:rFonts w:ascii="Arial" w:hAnsi="Arial" w:cs="Arial"/>
          <w:b/>
          <w:bCs/>
          <w:i w:val="0"/>
          <w:color w:val="auto"/>
          <w:sz w:val="24"/>
          <w:szCs w:val="24"/>
        </w:rPr>
        <w:t>Scenario 5: 4GHz ATG DL interfering TN UL</w:t>
      </w:r>
      <w:r w:rsidR="006A1354" w:rsidRPr="0086227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006A1354" w:rsidRPr="00507EE5">
        <w:rPr>
          <w:rFonts w:ascii="Arial" w:hAnsi="Arial" w:cs="Arial"/>
          <w:b/>
          <w:bCs/>
          <w:i w:val="0"/>
          <w:color w:val="auto"/>
          <w:sz w:val="24"/>
          <w:szCs w:val="24"/>
        </w:rPr>
        <w:t>u</w:t>
      </w:r>
      <w:r w:rsidR="006A1354" w:rsidRPr="00862273">
        <w:rPr>
          <w:rFonts w:ascii="Arial" w:hAnsi="Arial" w:cs="Arial"/>
          <w:b/>
          <w:bCs/>
          <w:i w:val="0"/>
          <w:color w:val="auto"/>
          <w:sz w:val="24"/>
          <w:szCs w:val="24"/>
        </w:rPr>
        <w:t>sing FSPL model</w:t>
      </w:r>
    </w:p>
    <w:p w14:paraId="22643BCF" w14:textId="77777777" w:rsidR="00727CC1" w:rsidRPr="00507EE5" w:rsidRDefault="00727CC1" w:rsidP="002D2FC6"/>
    <w:p w14:paraId="61A72243" w14:textId="32933CB2" w:rsidR="00727CC1" w:rsidRPr="00A23E79" w:rsidRDefault="00D07DF6" w:rsidP="00727CC1">
      <w:r>
        <w:t xml:space="preserve">In Scenario 5, </w:t>
      </w:r>
      <w:r w:rsidR="009A3D5C" w:rsidRPr="009A3D5C">
        <w:fldChar w:fldCharType="begin"/>
      </w:r>
      <w:r w:rsidR="009A3D5C" w:rsidRPr="009A3D5C">
        <w:instrText xml:space="preserve"> REF _Ref146704357 \h </w:instrText>
      </w:r>
      <w:r w:rsidR="009A3D5C" w:rsidRPr="00862273">
        <w:instrText xml:space="preserve"> \* MERGEFORMAT </w:instrText>
      </w:r>
      <w:r w:rsidR="009A3D5C" w:rsidRPr="009A3D5C">
        <w:fldChar w:fldCharType="separate"/>
      </w:r>
      <w:r w:rsidR="004A68E4" w:rsidRPr="004A68E4">
        <w:t xml:space="preserve">Figure </w:t>
      </w:r>
      <w:r w:rsidR="004A68E4" w:rsidRPr="00862273">
        <w:rPr>
          <w:noProof/>
        </w:rPr>
        <w:t>1</w:t>
      </w:r>
      <w:r w:rsidR="009A3D5C" w:rsidRPr="009A3D5C">
        <w:fldChar w:fldCharType="end"/>
      </w:r>
      <w:r w:rsidR="009A3D5C">
        <w:t xml:space="preserve"> </w:t>
      </w:r>
      <w:r w:rsidRPr="00D10765">
        <w:t>show</w:t>
      </w:r>
      <w:r>
        <w:t>s</w:t>
      </w:r>
      <w:r w:rsidRPr="00D10765">
        <w:t xml:space="preserve"> the results for t</w:t>
      </w:r>
      <w:r>
        <w:t xml:space="preserve">he </w:t>
      </w:r>
      <w:r w:rsidRPr="009A3D5C">
        <w:t xml:space="preserve">non-subarray </w:t>
      </w:r>
      <w:r>
        <w:t>antenna configuration. As can be seen from the figure, i</w:t>
      </w:r>
      <w:r w:rsidRPr="00A23E79">
        <w:t xml:space="preserve">solation distance </w:t>
      </w:r>
      <w:r>
        <w:t xml:space="preserve">needed to maintain the 5% throughput degradation criteria for ATG network </w:t>
      </w:r>
      <w:r w:rsidRPr="00A23E79">
        <w:t xml:space="preserve">is </w:t>
      </w:r>
      <w:r>
        <w:rPr>
          <w:lang w:val="en-GB"/>
        </w:rPr>
        <w:t xml:space="preserve">230 </w:t>
      </w:r>
      <w:r w:rsidR="00055263" w:rsidRPr="00055263">
        <w:rPr>
          <w:lang w:val="en-GB"/>
        </w:rPr>
        <w:t xml:space="preserve">km for the zero-degree case, </w:t>
      </w:r>
      <w:r w:rsidR="00055263" w:rsidRPr="00D07DF6">
        <w:rPr>
          <w:lang w:val="en-GB"/>
        </w:rPr>
        <w:t xml:space="preserve">more than </w:t>
      </w:r>
      <w:r w:rsidRPr="00862273">
        <w:rPr>
          <w:lang w:val="en-GB"/>
        </w:rPr>
        <w:t>33</w:t>
      </w:r>
      <w:r w:rsidR="00055263" w:rsidRPr="00D07DF6">
        <w:rPr>
          <w:lang w:val="en-GB"/>
        </w:rPr>
        <w:t xml:space="preserve"> km for the thirty-degree case, and more than </w:t>
      </w:r>
      <w:r w:rsidRPr="00862273">
        <w:rPr>
          <w:lang w:val="en-GB"/>
        </w:rPr>
        <w:t>21</w:t>
      </w:r>
      <w:r w:rsidR="00055263" w:rsidRPr="00D07DF6">
        <w:rPr>
          <w:lang w:val="en-GB"/>
        </w:rPr>
        <w:t xml:space="preserve"> km for the</w:t>
      </w:r>
      <w:r w:rsidR="00055263" w:rsidRPr="00055263">
        <w:rPr>
          <w:lang w:val="en-GB"/>
        </w:rPr>
        <w:t xml:space="preserve"> sixty-degree case</w:t>
      </w:r>
      <w:r w:rsidR="00727CC1" w:rsidRPr="00A23E79">
        <w:t xml:space="preserve">. </w:t>
      </w:r>
    </w:p>
    <w:p w14:paraId="1FC2A8BD" w14:textId="1DE7B07E" w:rsidR="00727CC1" w:rsidRDefault="00FE632B" w:rsidP="002D2FC6">
      <w:r>
        <w:lastRenderedPageBreak/>
        <w:t> </w:t>
      </w:r>
      <w:r>
        <w:rPr>
          <w:noProof/>
        </w:rPr>
        <w:drawing>
          <wp:inline distT="0" distB="0" distL="0" distR="0" wp14:anchorId="5C9582CA" wp14:editId="67DCD517">
            <wp:extent cx="6120765" cy="31953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9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AACFC" w14:textId="6CF1FADF" w:rsidR="00F127E0" w:rsidRPr="00862273" w:rsidRDefault="00F127E0" w:rsidP="00727CC1">
      <w:pPr>
        <w:pStyle w:val="Caption"/>
        <w:jc w:val="center"/>
        <w:rPr>
          <w:b/>
          <w:bCs/>
          <w:i w:val="0"/>
          <w:iCs w:val="0"/>
          <w:color w:val="auto"/>
        </w:rPr>
      </w:pPr>
      <w:bookmarkStart w:id="2" w:name="_Ref146704357"/>
      <w:r w:rsidRPr="00862273">
        <w:rPr>
          <w:b/>
          <w:bCs/>
          <w:i w:val="0"/>
          <w:iCs w:val="0"/>
          <w:color w:val="auto"/>
        </w:rPr>
        <w:t xml:space="preserve">Figure </w:t>
      </w:r>
      <w:r w:rsidRPr="00862273">
        <w:rPr>
          <w:b/>
          <w:bCs/>
          <w:i w:val="0"/>
          <w:iCs w:val="0"/>
          <w:color w:val="auto"/>
        </w:rPr>
        <w:fldChar w:fldCharType="begin"/>
      </w:r>
      <w:r w:rsidRPr="00862273">
        <w:rPr>
          <w:b/>
          <w:bCs/>
          <w:i w:val="0"/>
          <w:iCs w:val="0"/>
          <w:color w:val="auto"/>
        </w:rPr>
        <w:instrText xml:space="preserve"> SEQ Figure \* ARABIC </w:instrText>
      </w:r>
      <w:r w:rsidRPr="00862273">
        <w:rPr>
          <w:b/>
          <w:bCs/>
          <w:i w:val="0"/>
          <w:iCs w:val="0"/>
          <w:color w:val="auto"/>
        </w:rPr>
        <w:fldChar w:fldCharType="separate"/>
      </w:r>
      <w:r w:rsidR="004A68E4" w:rsidRPr="00862273">
        <w:rPr>
          <w:b/>
          <w:bCs/>
          <w:i w:val="0"/>
          <w:iCs w:val="0"/>
          <w:noProof/>
          <w:color w:val="auto"/>
        </w:rPr>
        <w:t>1</w:t>
      </w:r>
      <w:r w:rsidRPr="00862273">
        <w:rPr>
          <w:b/>
          <w:bCs/>
          <w:i w:val="0"/>
          <w:iCs w:val="0"/>
          <w:color w:val="auto"/>
        </w:rPr>
        <w:fldChar w:fldCharType="end"/>
      </w:r>
      <w:bookmarkEnd w:id="2"/>
      <w:r w:rsidRPr="00862273">
        <w:rPr>
          <w:b/>
          <w:bCs/>
          <w:i w:val="0"/>
          <w:iCs w:val="0"/>
          <w:color w:val="auto"/>
        </w:rPr>
        <w:t xml:space="preserve">: Isolation distance for Scenario 5, </w:t>
      </w:r>
      <w:r w:rsidR="004A68E4" w:rsidRPr="00862273">
        <w:rPr>
          <w:b/>
          <w:bCs/>
          <w:i w:val="0"/>
          <w:iCs w:val="0"/>
          <w:color w:val="auto"/>
        </w:rPr>
        <w:t>non-</w:t>
      </w:r>
      <w:r w:rsidRPr="00862273">
        <w:rPr>
          <w:b/>
          <w:bCs/>
          <w:i w:val="0"/>
          <w:iCs w:val="0"/>
          <w:color w:val="auto"/>
        </w:rPr>
        <w:t>subarray model</w:t>
      </w:r>
    </w:p>
    <w:p w14:paraId="25B7337D" w14:textId="77777777" w:rsidR="002D2FC6" w:rsidRPr="00027337" w:rsidRDefault="002D2FC6" w:rsidP="002D2FC6"/>
    <w:p w14:paraId="29FBD64E" w14:textId="1C4AE488" w:rsidR="002D2FC6" w:rsidRPr="002C675E" w:rsidRDefault="0072443C" w:rsidP="00862273">
      <w:pPr>
        <w:pStyle w:val="Observation"/>
      </w:pPr>
      <w:bookmarkStart w:id="3" w:name="_Toc146739722"/>
      <w:bookmarkStart w:id="4" w:name="_Toc146739758"/>
      <w:bookmarkEnd w:id="3"/>
      <w:r>
        <w:t xml:space="preserve">For Scenario 5, </w:t>
      </w:r>
      <w:r w:rsidR="00C32304">
        <w:t>where TN BS is the victim, the isolation is unreasonably large for real world deployments.</w:t>
      </w:r>
      <w:bookmarkEnd w:id="4"/>
    </w:p>
    <w:p w14:paraId="3D5934EB" w14:textId="1A9D3CFB" w:rsidR="002D2FC6" w:rsidRPr="002C675E" w:rsidRDefault="002D2FC6" w:rsidP="002D2FC6"/>
    <w:p w14:paraId="224FF942" w14:textId="5E223C28" w:rsidR="002D2FC6" w:rsidRPr="00862273" w:rsidRDefault="002D2FC6" w:rsidP="002D2FC6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862273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Scenario 7: 4GHz TN DL interfering ATG UL</w:t>
      </w:r>
      <w:r w:rsidR="006A1354" w:rsidRPr="00862273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 using FSPL model</w:t>
      </w:r>
    </w:p>
    <w:p w14:paraId="711A234E" w14:textId="77777777" w:rsidR="002D2FC6" w:rsidRPr="00862273" w:rsidRDefault="002D2FC6" w:rsidP="002D2FC6"/>
    <w:p w14:paraId="6E0B0576" w14:textId="59B79646" w:rsidR="00A23E79" w:rsidRPr="00A23E79" w:rsidRDefault="005E7C87" w:rsidP="00A23E79">
      <w:r>
        <w:t xml:space="preserve">In Scenario 7, </w:t>
      </w:r>
      <w:r w:rsidR="003A1864" w:rsidRPr="00D10765">
        <w:fldChar w:fldCharType="begin"/>
      </w:r>
      <w:r w:rsidR="003A1864" w:rsidRPr="00D10765">
        <w:instrText xml:space="preserve"> REF _Ref146704060 \h </w:instrText>
      </w:r>
      <w:r w:rsidR="00D10765" w:rsidRPr="00862273">
        <w:instrText xml:space="preserve"> \* MERGEFORMAT </w:instrText>
      </w:r>
      <w:r w:rsidR="003A1864" w:rsidRPr="00D10765">
        <w:fldChar w:fldCharType="separate"/>
      </w:r>
      <w:r w:rsidR="004A68E4" w:rsidRPr="004A68E4">
        <w:t xml:space="preserve">Figure </w:t>
      </w:r>
      <w:r w:rsidR="004A68E4" w:rsidRPr="00862273">
        <w:rPr>
          <w:noProof/>
        </w:rPr>
        <w:t>2</w:t>
      </w:r>
      <w:r w:rsidR="003A1864" w:rsidRPr="00D10765">
        <w:fldChar w:fldCharType="end"/>
      </w:r>
      <w:r w:rsidR="003A1864" w:rsidRPr="00D10765">
        <w:t xml:space="preserve"> show</w:t>
      </w:r>
      <w:r w:rsidR="00727CC1">
        <w:t>s</w:t>
      </w:r>
      <w:r w:rsidR="003A1864" w:rsidRPr="00D10765">
        <w:t xml:space="preserve"> the results for t</w:t>
      </w:r>
      <w:r w:rsidR="003A1864">
        <w:t xml:space="preserve">he </w:t>
      </w:r>
      <w:r w:rsidR="003A1864" w:rsidRPr="009A3D5C">
        <w:t xml:space="preserve">non-subarray </w:t>
      </w:r>
      <w:r w:rsidR="000D679F">
        <w:t>antenna configuration</w:t>
      </w:r>
      <w:r w:rsidR="003A1864">
        <w:t>. As can be seen</w:t>
      </w:r>
      <w:r w:rsidR="00A23E79">
        <w:t xml:space="preserve"> from the figure, i</w:t>
      </w:r>
      <w:r w:rsidR="00A23E79" w:rsidRPr="00A23E79">
        <w:t xml:space="preserve">solation distance </w:t>
      </w:r>
      <w:r w:rsidR="00EC3828">
        <w:t xml:space="preserve">needed to maintain the 5% throughput </w:t>
      </w:r>
      <w:r w:rsidR="00D72C84">
        <w:t xml:space="preserve">degradation </w:t>
      </w:r>
      <w:r w:rsidR="00EC3828">
        <w:t xml:space="preserve">criteria for ATG network </w:t>
      </w:r>
      <w:r w:rsidR="00A23E79" w:rsidRPr="00A23E79">
        <w:t xml:space="preserve">is </w:t>
      </w:r>
      <w:r w:rsidR="00A23E79" w:rsidRPr="00862273">
        <w:rPr>
          <w:b/>
          <w:bCs/>
        </w:rPr>
        <w:t>more than 300 km</w:t>
      </w:r>
      <w:r w:rsidR="00A23E79" w:rsidRPr="00A23E79">
        <w:t xml:space="preserve"> for the zero-degree case, </w:t>
      </w:r>
      <w:r w:rsidR="00A23E79" w:rsidRPr="00862273">
        <w:rPr>
          <w:b/>
          <w:bCs/>
        </w:rPr>
        <w:t>around 70 km</w:t>
      </w:r>
      <w:r w:rsidR="00A23E79" w:rsidRPr="00A23E79">
        <w:t xml:space="preserve"> for the thirty-degree case, and </w:t>
      </w:r>
      <w:r w:rsidR="00A23E79" w:rsidRPr="00862273">
        <w:rPr>
          <w:b/>
          <w:bCs/>
        </w:rPr>
        <w:t>around 37 km</w:t>
      </w:r>
      <w:r w:rsidR="00A23E79" w:rsidRPr="00A23E79">
        <w:t xml:space="preserve"> for the sixty-degree case. </w:t>
      </w:r>
    </w:p>
    <w:p w14:paraId="5F5153CA" w14:textId="37DD805F" w:rsidR="003A1864" w:rsidRDefault="003A1864" w:rsidP="002D2FC6">
      <w:r>
        <w:t xml:space="preserve"> </w:t>
      </w:r>
    </w:p>
    <w:p w14:paraId="6EB76216" w14:textId="77777777" w:rsidR="00CD51EE" w:rsidRDefault="008F52FD" w:rsidP="00862273">
      <w:pPr>
        <w:keepNext/>
      </w:pPr>
      <w:r w:rsidRPr="008F52FD">
        <w:rPr>
          <w:noProof/>
        </w:rPr>
        <w:lastRenderedPageBreak/>
        <w:drawing>
          <wp:inline distT="0" distB="0" distL="0" distR="0" wp14:anchorId="4DC32660" wp14:editId="683F490F">
            <wp:extent cx="6120765" cy="3194050"/>
            <wp:effectExtent l="0" t="0" r="0" b="0"/>
            <wp:docPr id="4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2C50ED0-A828-F0C5-D015-FE85244DF3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32C50ED0-A828-F0C5-D015-FE85244DF3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A20AE" w14:textId="262D5CEA" w:rsidR="002D2FC6" w:rsidRPr="00862273" w:rsidRDefault="00CD51EE" w:rsidP="00862273">
      <w:pPr>
        <w:pStyle w:val="Caption"/>
        <w:jc w:val="center"/>
        <w:rPr>
          <w:b/>
        </w:rPr>
      </w:pPr>
      <w:bookmarkStart w:id="5" w:name="_Ref146704060"/>
      <w:r w:rsidRPr="00862273">
        <w:rPr>
          <w:b/>
          <w:bCs/>
          <w:i w:val="0"/>
          <w:iCs w:val="0"/>
          <w:color w:val="auto"/>
        </w:rPr>
        <w:t xml:space="preserve">Figure </w:t>
      </w:r>
      <w:r w:rsidRPr="00862273">
        <w:rPr>
          <w:b/>
          <w:bCs/>
          <w:i w:val="0"/>
          <w:iCs w:val="0"/>
          <w:color w:val="auto"/>
        </w:rPr>
        <w:fldChar w:fldCharType="begin"/>
      </w:r>
      <w:r w:rsidRPr="00862273">
        <w:rPr>
          <w:b/>
          <w:bCs/>
          <w:i w:val="0"/>
          <w:iCs w:val="0"/>
          <w:color w:val="auto"/>
        </w:rPr>
        <w:instrText xml:space="preserve"> SEQ Figure \* ARABIC </w:instrText>
      </w:r>
      <w:r w:rsidRPr="00862273">
        <w:rPr>
          <w:b/>
          <w:bCs/>
          <w:i w:val="0"/>
          <w:iCs w:val="0"/>
          <w:color w:val="auto"/>
        </w:rPr>
        <w:fldChar w:fldCharType="separate"/>
      </w:r>
      <w:r w:rsidR="004A68E4" w:rsidRPr="00862273">
        <w:rPr>
          <w:b/>
          <w:bCs/>
          <w:i w:val="0"/>
          <w:iCs w:val="0"/>
          <w:noProof/>
          <w:color w:val="auto"/>
        </w:rPr>
        <w:t>2</w:t>
      </w:r>
      <w:r w:rsidRPr="00862273">
        <w:rPr>
          <w:b/>
          <w:bCs/>
          <w:i w:val="0"/>
          <w:iCs w:val="0"/>
          <w:color w:val="auto"/>
        </w:rPr>
        <w:fldChar w:fldCharType="end"/>
      </w:r>
      <w:bookmarkEnd w:id="5"/>
      <w:r w:rsidRPr="00862273">
        <w:rPr>
          <w:b/>
          <w:bCs/>
          <w:i w:val="0"/>
          <w:iCs w:val="0"/>
          <w:color w:val="auto"/>
        </w:rPr>
        <w:t>: Isolation distance for Scenario 7, non-subarray model</w:t>
      </w:r>
    </w:p>
    <w:p w14:paraId="51160FFB" w14:textId="77777777" w:rsidR="002D2FC6" w:rsidRPr="002C675E" w:rsidRDefault="002D2FC6" w:rsidP="002D2FC6"/>
    <w:p w14:paraId="6DD5E5C5" w14:textId="77777777" w:rsidR="00FF06ED" w:rsidRPr="002C675E" w:rsidRDefault="00FF06ED" w:rsidP="002D2FC6"/>
    <w:p w14:paraId="566FF0B1" w14:textId="4411AD47" w:rsidR="002D2FC6" w:rsidRPr="00862273" w:rsidRDefault="002D2FC6" w:rsidP="002D2FC6">
      <w:pPr>
        <w:pStyle w:val="Heading4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862273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Scenario 14: 2GHz TN DL interfering ATG UL</w:t>
      </w:r>
      <w:r w:rsidR="006A1354" w:rsidRPr="00862273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 xml:space="preserve"> using FSPL model</w:t>
      </w:r>
    </w:p>
    <w:p w14:paraId="1F718E58" w14:textId="77777777" w:rsidR="002D2FC6" w:rsidRPr="00862273" w:rsidRDefault="002D2FC6" w:rsidP="002D2FC6"/>
    <w:p w14:paraId="4212EB16" w14:textId="5C09222F" w:rsidR="00D10765" w:rsidRPr="005A5FF9" w:rsidRDefault="00C37D5F" w:rsidP="002D2FC6">
      <w:r>
        <w:t xml:space="preserve">In Scenario 14, </w:t>
      </w:r>
      <w:r w:rsidRPr="00D10765">
        <w:fldChar w:fldCharType="begin"/>
      </w:r>
      <w:r w:rsidRPr="00D10765">
        <w:instrText xml:space="preserve"> REF _Ref146704060 \h </w:instrText>
      </w:r>
      <w:r w:rsidRPr="00C67AD2">
        <w:instrText xml:space="preserve"> \* MERGEFORMAT </w:instrText>
      </w:r>
      <w:r w:rsidRPr="00D10765">
        <w:fldChar w:fldCharType="separate"/>
      </w:r>
      <w:r w:rsidRPr="004A68E4">
        <w:t xml:space="preserve">Figure </w:t>
      </w:r>
      <w:r w:rsidRPr="00C67AD2">
        <w:rPr>
          <w:noProof/>
        </w:rPr>
        <w:t>2</w:t>
      </w:r>
      <w:r w:rsidRPr="00D10765">
        <w:fldChar w:fldCharType="end"/>
      </w:r>
      <w:r w:rsidRPr="00D10765">
        <w:t xml:space="preserve"> show</w:t>
      </w:r>
      <w:r>
        <w:t>s</w:t>
      </w:r>
      <w:r w:rsidRPr="00D10765">
        <w:t xml:space="preserve"> the results for t</w:t>
      </w:r>
      <w:r>
        <w:t xml:space="preserve">he </w:t>
      </w:r>
      <w:r w:rsidRPr="009A3D5C">
        <w:t xml:space="preserve">non-subarray </w:t>
      </w:r>
      <w:r>
        <w:t>antenna configuration</w:t>
      </w:r>
      <w:r w:rsidR="005A5FF9">
        <w:t xml:space="preserve"> </w:t>
      </w:r>
      <w:r w:rsidR="00D70847">
        <w:rPr>
          <w:lang w:eastAsia="ja-JP"/>
        </w:rPr>
        <w:t xml:space="preserve">the isolation distance needed to maintain the throughput degradation of the ATG network at 5% is, </w:t>
      </w:r>
      <w:r w:rsidR="00D70847" w:rsidRPr="00862273">
        <w:rPr>
          <w:b/>
          <w:bCs/>
          <w:lang w:eastAsia="ja-JP"/>
        </w:rPr>
        <w:t xml:space="preserve">around </w:t>
      </w:r>
      <w:r w:rsidR="00D70847">
        <w:rPr>
          <w:b/>
          <w:bCs/>
          <w:lang w:eastAsia="ja-JP"/>
        </w:rPr>
        <w:t>30</w:t>
      </w:r>
      <w:r w:rsidR="00D70847" w:rsidRPr="00862273">
        <w:rPr>
          <w:b/>
          <w:bCs/>
          <w:lang w:eastAsia="ja-JP"/>
        </w:rPr>
        <w:t>0 km</w:t>
      </w:r>
      <w:r w:rsidR="00D70847">
        <w:rPr>
          <w:lang w:eastAsia="ja-JP"/>
        </w:rPr>
        <w:t xml:space="preserve"> for the zero-degree case</w:t>
      </w:r>
      <w:r w:rsidR="0036519A" w:rsidRPr="0036519A">
        <w:t xml:space="preserve">, </w:t>
      </w:r>
      <w:r w:rsidR="0036519A" w:rsidRPr="00862273">
        <w:rPr>
          <w:b/>
          <w:bCs/>
        </w:rPr>
        <w:t>around 120 km</w:t>
      </w:r>
      <w:r w:rsidR="0036519A" w:rsidRPr="0036519A">
        <w:t xml:space="preserve"> for the thirty-degree case, and </w:t>
      </w:r>
      <w:r w:rsidR="0036519A" w:rsidRPr="00862273">
        <w:rPr>
          <w:b/>
          <w:bCs/>
        </w:rPr>
        <w:t>around 90 km</w:t>
      </w:r>
      <w:r w:rsidR="0036519A" w:rsidRPr="0036519A">
        <w:t xml:space="preserve"> for the sixty-degree case.</w:t>
      </w:r>
    </w:p>
    <w:p w14:paraId="45AB5FC3" w14:textId="6ED8E483" w:rsidR="002D2FC6" w:rsidRPr="00027337" w:rsidRDefault="00CD51EE" w:rsidP="002D2FC6">
      <w:r w:rsidRPr="00CD51EE">
        <w:rPr>
          <w:noProof/>
        </w:rPr>
        <w:drawing>
          <wp:inline distT="0" distB="0" distL="0" distR="0" wp14:anchorId="11C36F34" wp14:editId="3DFB11DC">
            <wp:extent cx="6120765" cy="3194050"/>
            <wp:effectExtent l="0" t="0" r="0" b="0"/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A45FFD94-C977-66C5-8230-A4CA01749F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A45FFD94-C977-66C5-8230-A4CA01749F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09E73" w14:textId="0B22CD8C" w:rsidR="00CD51EE" w:rsidRPr="00862273" w:rsidRDefault="00CD51EE" w:rsidP="00CD51EE">
      <w:pPr>
        <w:pStyle w:val="Caption"/>
        <w:jc w:val="center"/>
        <w:rPr>
          <w:b/>
          <w:bCs/>
          <w:i w:val="0"/>
          <w:iCs w:val="0"/>
          <w:color w:val="auto"/>
        </w:rPr>
      </w:pPr>
      <w:bookmarkStart w:id="6" w:name="_Ref146704156"/>
      <w:r w:rsidRPr="00862273">
        <w:rPr>
          <w:b/>
          <w:bCs/>
          <w:i w:val="0"/>
          <w:iCs w:val="0"/>
          <w:color w:val="auto"/>
        </w:rPr>
        <w:t xml:space="preserve">Figure </w:t>
      </w:r>
      <w:r w:rsidRPr="00862273">
        <w:rPr>
          <w:b/>
          <w:bCs/>
          <w:i w:val="0"/>
          <w:iCs w:val="0"/>
          <w:color w:val="auto"/>
        </w:rPr>
        <w:fldChar w:fldCharType="begin"/>
      </w:r>
      <w:r w:rsidRPr="00862273">
        <w:rPr>
          <w:b/>
          <w:bCs/>
          <w:i w:val="0"/>
          <w:iCs w:val="0"/>
          <w:color w:val="auto"/>
        </w:rPr>
        <w:instrText xml:space="preserve"> SEQ Figure \* ARABIC </w:instrText>
      </w:r>
      <w:r w:rsidRPr="00862273">
        <w:rPr>
          <w:b/>
          <w:bCs/>
          <w:i w:val="0"/>
          <w:iCs w:val="0"/>
          <w:color w:val="auto"/>
        </w:rPr>
        <w:fldChar w:fldCharType="separate"/>
      </w:r>
      <w:r w:rsidR="004A68E4" w:rsidRPr="00862273">
        <w:rPr>
          <w:b/>
          <w:bCs/>
          <w:i w:val="0"/>
          <w:iCs w:val="0"/>
          <w:noProof/>
          <w:color w:val="auto"/>
        </w:rPr>
        <w:t>3</w:t>
      </w:r>
      <w:r w:rsidRPr="00862273">
        <w:rPr>
          <w:b/>
          <w:bCs/>
          <w:i w:val="0"/>
          <w:iCs w:val="0"/>
          <w:color w:val="auto"/>
        </w:rPr>
        <w:fldChar w:fldCharType="end"/>
      </w:r>
      <w:bookmarkEnd w:id="6"/>
      <w:r w:rsidRPr="00862273">
        <w:rPr>
          <w:b/>
          <w:bCs/>
          <w:i w:val="0"/>
          <w:iCs w:val="0"/>
          <w:color w:val="auto"/>
        </w:rPr>
        <w:t>: Isolation distance for Scenario 14, non-subarray model</w:t>
      </w:r>
    </w:p>
    <w:p w14:paraId="7509798D" w14:textId="77777777" w:rsid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249BD77D" w14:textId="39114DC2" w:rsidR="00020F3E" w:rsidRDefault="00020F3E" w:rsidP="00FE276B">
      <w:pPr>
        <w:pStyle w:val="Proposal"/>
        <w:numPr>
          <w:ilvl w:val="0"/>
          <w:numId w:val="0"/>
        </w:numPr>
        <w:rPr>
          <w:b w:val="0"/>
          <w:bCs w:val="0"/>
        </w:rPr>
      </w:pPr>
      <w:bookmarkStart w:id="7" w:name="_Toc146710456"/>
      <w:r>
        <w:rPr>
          <w:b w:val="0"/>
          <w:bCs w:val="0"/>
        </w:rPr>
        <w:lastRenderedPageBreak/>
        <w:t>Based on the previous results</w:t>
      </w:r>
      <w:r w:rsidR="00AC0CC5">
        <w:rPr>
          <w:b w:val="0"/>
          <w:bCs w:val="0"/>
        </w:rPr>
        <w:t xml:space="preserve">, for scenario 7 and 14 where ATG BS is the victim, the isolation distance that needs to be maintained </w:t>
      </w:r>
      <w:r w:rsidR="00AB5320">
        <w:rPr>
          <w:b w:val="0"/>
          <w:bCs w:val="0"/>
        </w:rPr>
        <w:t>for the 5% throughput degradation criteria between TN and ATG BS</w:t>
      </w:r>
      <w:r w:rsidR="00442429">
        <w:rPr>
          <w:b w:val="0"/>
          <w:bCs w:val="0"/>
        </w:rPr>
        <w:t xml:space="preserve"> is substantial</w:t>
      </w:r>
      <w:r w:rsidR="008D7233">
        <w:rPr>
          <w:b w:val="0"/>
          <w:bCs w:val="0"/>
        </w:rPr>
        <w:t xml:space="preserve">, making the non-synchronized scenarios real world deployments for now </w:t>
      </w:r>
      <w:r w:rsidR="00CB14FD">
        <w:rPr>
          <w:b w:val="0"/>
          <w:bCs w:val="0"/>
        </w:rPr>
        <w:t>unserviceable.</w:t>
      </w:r>
      <w:bookmarkEnd w:id="7"/>
      <w:r w:rsidR="00CB14FD">
        <w:rPr>
          <w:b w:val="0"/>
          <w:bCs w:val="0"/>
        </w:rPr>
        <w:t xml:space="preserve"> </w:t>
      </w:r>
    </w:p>
    <w:p w14:paraId="47A14ED4" w14:textId="77777777" w:rsidR="001163D6" w:rsidRPr="00862273" w:rsidRDefault="001163D6" w:rsidP="00FE276B">
      <w:pPr>
        <w:pStyle w:val="Proposal"/>
        <w:numPr>
          <w:ilvl w:val="0"/>
          <w:numId w:val="0"/>
        </w:numPr>
      </w:pPr>
    </w:p>
    <w:p w14:paraId="019CD536" w14:textId="06AAEBF9" w:rsidR="00D41931" w:rsidRDefault="00993A9E" w:rsidP="00D41931">
      <w:pPr>
        <w:pStyle w:val="Observation"/>
      </w:pPr>
      <w:bookmarkStart w:id="8" w:name="_Toc146739759"/>
      <w:r w:rsidRPr="00862273">
        <w:t xml:space="preserve">For scenario 7 and 14 where ATG BS is the victim, the isolation distance that needs to be maintained for the 5% throughput degradation criteria between TN and ATG BS is substantial, making the non-synchronized scenarios real world deployments </w:t>
      </w:r>
      <w:bookmarkEnd w:id="8"/>
      <w:r w:rsidR="004B7D09">
        <w:t>unserviceable.</w:t>
      </w:r>
    </w:p>
    <w:p w14:paraId="454A7F29" w14:textId="77777777" w:rsidR="00FD20C8" w:rsidRDefault="00FD20C8" w:rsidP="00FD20C8">
      <w:pPr>
        <w:pStyle w:val="Observation"/>
        <w:numPr>
          <w:ilvl w:val="0"/>
          <w:numId w:val="0"/>
        </w:numPr>
      </w:pPr>
    </w:p>
    <w:p w14:paraId="6DFA2C66" w14:textId="0E70794D" w:rsidR="00FD20C8" w:rsidRPr="00862273" w:rsidRDefault="00FD20C8" w:rsidP="00FD20C8">
      <w:pPr>
        <w:pStyle w:val="Observation"/>
        <w:numPr>
          <w:ilvl w:val="0"/>
          <w:numId w:val="0"/>
        </w:numPr>
        <w:rPr>
          <w:b w:val="0"/>
          <w:bCs w:val="0"/>
        </w:rPr>
      </w:pPr>
      <w:bookmarkStart w:id="9" w:name="_Toc146710530"/>
      <w:bookmarkStart w:id="10" w:name="_Toc146739760"/>
      <w:r w:rsidRPr="00862273">
        <w:rPr>
          <w:b w:val="0"/>
          <w:bCs w:val="0"/>
        </w:rPr>
        <w:t xml:space="preserve">This </w:t>
      </w:r>
      <w:r w:rsidR="00481144" w:rsidRPr="00862273">
        <w:rPr>
          <w:b w:val="0"/>
          <w:bCs w:val="0"/>
        </w:rPr>
        <w:t>brings us to the feasibility o</w:t>
      </w:r>
      <w:r w:rsidR="001F5728" w:rsidRPr="00862273">
        <w:rPr>
          <w:b w:val="0"/>
          <w:bCs w:val="0"/>
        </w:rPr>
        <w:t xml:space="preserve">f such deployments. In our view, we believe that the most </w:t>
      </w:r>
      <w:r w:rsidR="004E43FE" w:rsidRPr="00862273">
        <w:rPr>
          <w:b w:val="0"/>
          <w:bCs w:val="0"/>
        </w:rPr>
        <w:t>viable solution is to consider synchronization between TN and ATG BS</w:t>
      </w:r>
      <w:r w:rsidR="004A4142" w:rsidRPr="00862273">
        <w:rPr>
          <w:b w:val="0"/>
          <w:bCs w:val="0"/>
        </w:rPr>
        <w:t xml:space="preserve">, to avoid need of such large isolation distances. </w:t>
      </w:r>
      <w:r w:rsidR="000D7B41" w:rsidRPr="00862273">
        <w:rPr>
          <w:b w:val="0"/>
          <w:bCs w:val="0"/>
        </w:rPr>
        <w:t>We have provided some insights in our companion contribution [1] for the same.</w:t>
      </w:r>
      <w:bookmarkEnd w:id="9"/>
      <w:bookmarkEnd w:id="10"/>
    </w:p>
    <w:p w14:paraId="2529802C" w14:textId="77777777" w:rsidR="000D7B41" w:rsidRDefault="000D7B41" w:rsidP="00FD20C8">
      <w:pPr>
        <w:pStyle w:val="Observation"/>
        <w:numPr>
          <w:ilvl w:val="0"/>
          <w:numId w:val="0"/>
        </w:numPr>
      </w:pPr>
    </w:p>
    <w:p w14:paraId="3B961941" w14:textId="164F51D0" w:rsidR="000D7B41" w:rsidRPr="00993A9E" w:rsidRDefault="00820045" w:rsidP="00862273">
      <w:pPr>
        <w:pStyle w:val="Proposal"/>
      </w:pPr>
      <w:bookmarkStart w:id="11" w:name="_Toc146710457"/>
      <w:r>
        <w:t xml:space="preserve">TN and ATG </w:t>
      </w:r>
      <w:r w:rsidR="00C32304">
        <w:t xml:space="preserve">BS </w:t>
      </w:r>
      <w:r>
        <w:t xml:space="preserve">synchronization </w:t>
      </w:r>
      <w:r w:rsidR="00285A24">
        <w:t>are</w:t>
      </w:r>
      <w:r>
        <w:t xml:space="preserve"> needed to avoid </w:t>
      </w:r>
      <w:r w:rsidR="00AB73CD">
        <w:t>such unserviceable large isolation distances.</w:t>
      </w:r>
      <w:bookmarkEnd w:id="11"/>
    </w:p>
    <w:p w14:paraId="681B93B2" w14:textId="77777777" w:rsidR="00562C38" w:rsidRPr="00862273" w:rsidRDefault="00FE276B" w:rsidP="00562C38">
      <w:pPr>
        <w:pStyle w:val="Heading1"/>
        <w:rPr>
          <w:lang w:val="en-US"/>
        </w:rPr>
      </w:pPr>
      <w:r w:rsidRPr="00300A24">
        <w:rPr>
          <w:b/>
          <w:bCs/>
        </w:rPr>
        <w:t xml:space="preserve"> </w:t>
      </w:r>
      <w:r w:rsidR="00562C38" w:rsidRPr="00862273">
        <w:rPr>
          <w:lang w:val="en-US"/>
        </w:rPr>
        <w:t>Conclusion</w:t>
      </w:r>
    </w:p>
    <w:p w14:paraId="09BD2AA5" w14:textId="77FEBBFD" w:rsidR="003877F6" w:rsidRDefault="000C4F2A" w:rsidP="00562C38">
      <w:pPr>
        <w:pStyle w:val="BodyText"/>
      </w:pPr>
      <w:r w:rsidRPr="00862273">
        <w:t xml:space="preserve">We </w:t>
      </w:r>
      <w:r w:rsidR="00A12CE2" w:rsidRPr="00862273">
        <w:t>presented</w:t>
      </w:r>
      <w:r w:rsidRPr="00862273">
        <w:t xml:space="preserve"> preliminary simulation results</w:t>
      </w:r>
      <w:r w:rsidR="003877F6">
        <w:t xml:space="preserve"> based on FSPL model</w:t>
      </w:r>
      <w:r w:rsidRPr="00862273">
        <w:t xml:space="preserve"> </w:t>
      </w:r>
      <w:r w:rsidR="006D4428">
        <w:t>in this c</w:t>
      </w:r>
      <w:r w:rsidR="003877F6">
        <w:t>ontribution</w:t>
      </w:r>
      <w:r w:rsidR="00A12CE2" w:rsidRPr="00862273">
        <w:t xml:space="preserve">. </w:t>
      </w:r>
    </w:p>
    <w:p w14:paraId="726C70F6" w14:textId="65674BBE" w:rsidR="0089603A" w:rsidRPr="00300A24" w:rsidRDefault="0089603A" w:rsidP="0089603A">
      <w:pPr>
        <w:pStyle w:val="BodyText"/>
        <w:rPr>
          <w:b/>
          <w:bCs/>
        </w:rPr>
      </w:pPr>
      <w:r>
        <w:t>I</w:t>
      </w:r>
      <w:r w:rsidRPr="00300A24">
        <w:t>n the previous sections we made the following observations:</w:t>
      </w:r>
      <w:r w:rsidRPr="00300A24">
        <w:rPr>
          <w:b/>
          <w:bCs/>
        </w:rPr>
        <w:t xml:space="preserve"> </w:t>
      </w:r>
    </w:p>
    <w:p w14:paraId="29A3CA71" w14:textId="11B9B848" w:rsidR="00DA74F6" w:rsidRDefault="0089603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r w:rsidRPr="00300A24">
        <w:rPr>
          <w:b w:val="0"/>
          <w:bCs/>
        </w:rPr>
        <w:fldChar w:fldCharType="begin"/>
      </w:r>
      <w:r w:rsidRPr="00300A24">
        <w:rPr>
          <w:bCs/>
        </w:rPr>
        <w:instrText xml:space="preserve"> TOC \f O \n \h \z \t "Observation" \c </w:instrText>
      </w:r>
      <w:r w:rsidRPr="00300A24">
        <w:rPr>
          <w:b w:val="0"/>
          <w:bCs/>
        </w:rPr>
        <w:fldChar w:fldCharType="separate"/>
      </w:r>
      <w:hyperlink w:anchor="_Toc146739758" w:history="1">
        <w:r w:rsidR="00DA74F6" w:rsidRPr="00BA5308">
          <w:rPr>
            <w:rStyle w:val="Hyperlink"/>
            <w:noProof/>
          </w:rPr>
          <w:t>Observation 1</w:t>
        </w:r>
        <w:r w:rsidR="00DA74F6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DA74F6" w:rsidRPr="00BA5308">
          <w:rPr>
            <w:rStyle w:val="Hyperlink"/>
            <w:noProof/>
          </w:rPr>
          <w:t>For Scenario 5, where TN BS is the victim, the isolation is unreasonably large for real world deployments.</w:t>
        </w:r>
      </w:hyperlink>
    </w:p>
    <w:p w14:paraId="0B9A1EC1" w14:textId="779BAF71" w:rsidR="00DA74F6" w:rsidRDefault="004B7D0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46739759" w:history="1">
        <w:r w:rsidR="00DA74F6" w:rsidRPr="00BA5308">
          <w:rPr>
            <w:rStyle w:val="Hyperlink"/>
            <w:noProof/>
          </w:rPr>
          <w:t>Observation 2</w:t>
        </w:r>
        <w:r w:rsidR="00DA74F6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DA74F6" w:rsidRPr="00BA5308">
          <w:rPr>
            <w:rStyle w:val="Hyperlink"/>
            <w:noProof/>
          </w:rPr>
          <w:t>For scenario 7 and 14 where ATG BS is the victim, the isolation distance that needs to be maintained for the 5% throughput degradation criteria between TN and ATG BS is substantial, making the non-synchronized scenarios real world deployments  unserviceable.</w:t>
        </w:r>
      </w:hyperlink>
    </w:p>
    <w:p w14:paraId="69C1A59A" w14:textId="1646A7FB" w:rsidR="0089603A" w:rsidRPr="00862273" w:rsidRDefault="0089603A" w:rsidP="00DA74F6">
      <w:pPr>
        <w:pStyle w:val="TableofFigures"/>
      </w:pPr>
      <w:r w:rsidRPr="00300A24">
        <w:rPr>
          <w:b w:val="0"/>
          <w:bCs/>
        </w:rPr>
        <w:fldChar w:fldCharType="end"/>
      </w:r>
    </w:p>
    <w:p w14:paraId="67EE7D2E" w14:textId="264F64A9" w:rsidR="00285A24" w:rsidRPr="00862273" w:rsidRDefault="00285A24" w:rsidP="00862273">
      <w:pPr>
        <w:pStyle w:val="BodyText"/>
        <w:rPr>
          <w:b/>
        </w:rPr>
      </w:pPr>
      <w:r w:rsidRPr="00300A24">
        <w:t>Based on the discussion in the previous sections we propose the following:</w:t>
      </w:r>
      <w:r w:rsidRPr="00300A24">
        <w:rPr>
          <w:b/>
          <w:bCs/>
        </w:rPr>
        <w:fldChar w:fldCharType="begin"/>
      </w:r>
      <w:r w:rsidRPr="00300A24">
        <w:rPr>
          <w:b/>
          <w:bCs/>
        </w:rPr>
        <w:instrText xml:space="preserve"> TOC \n \h \z \t "Proposal" \c </w:instrText>
      </w:r>
      <w:r w:rsidRPr="00300A24">
        <w:rPr>
          <w:b/>
          <w:bCs/>
        </w:rPr>
        <w:fldChar w:fldCharType="separate"/>
      </w:r>
    </w:p>
    <w:p w14:paraId="43454572" w14:textId="71674455" w:rsidR="00285A24" w:rsidRDefault="004B7D0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46710457" w:history="1">
        <w:r w:rsidR="00285A24" w:rsidRPr="008A5074">
          <w:rPr>
            <w:rStyle w:val="Hyperlink"/>
            <w:noProof/>
          </w:rPr>
          <w:t>Proposal 1</w:t>
        </w:r>
        <w:r w:rsidR="00285A24">
          <w:rPr>
            <w:rFonts w:asciiTheme="minorHAnsi" w:eastAsiaTheme="minorEastAsia" w:hAnsiTheme="minorHAnsi"/>
            <w:b w:val="0"/>
            <w:sz w:val="22"/>
          </w:rPr>
          <w:tab/>
        </w:r>
        <w:r w:rsidR="00285A24" w:rsidRPr="008A5074">
          <w:rPr>
            <w:rStyle w:val="Hyperlink"/>
            <w:noProof/>
          </w:rPr>
          <w:t xml:space="preserve">TN and ATG </w:t>
        </w:r>
        <w:r w:rsidR="00C32304">
          <w:rPr>
            <w:rStyle w:val="Hyperlink"/>
            <w:noProof/>
          </w:rPr>
          <w:t xml:space="preserve">BS </w:t>
        </w:r>
        <w:r w:rsidR="00285A24" w:rsidRPr="008A5074">
          <w:rPr>
            <w:rStyle w:val="Hyperlink"/>
            <w:noProof/>
          </w:rPr>
          <w:t>synchronization are needed to avoid such unserviceable large isolation distances.</w:t>
        </w:r>
      </w:hyperlink>
    </w:p>
    <w:p w14:paraId="4BD53B6C" w14:textId="35965DA4" w:rsidR="00FF06ED" w:rsidRPr="00300A24" w:rsidRDefault="00285A24" w:rsidP="00862273">
      <w:pPr>
        <w:pStyle w:val="TableofFigures"/>
      </w:pPr>
      <w:r w:rsidRPr="00300A24">
        <w:fldChar w:fldCharType="end"/>
      </w:r>
    </w:p>
    <w:p w14:paraId="2E37DB14" w14:textId="77777777" w:rsidR="00FE276B" w:rsidRPr="00300A24" w:rsidRDefault="00FE276B" w:rsidP="00FE276B">
      <w:pPr>
        <w:pStyle w:val="Heading1"/>
        <w:rPr>
          <w:lang w:val="en-US"/>
        </w:rPr>
      </w:pPr>
      <w:bookmarkStart w:id="12" w:name="_In-sequence_SDU_delivery"/>
      <w:bookmarkEnd w:id="12"/>
      <w:r w:rsidRPr="00300A24">
        <w:rPr>
          <w:lang w:val="en-US"/>
        </w:rPr>
        <w:t>References</w:t>
      </w:r>
    </w:p>
    <w:p w14:paraId="3AE2A081" w14:textId="3F9D69FD" w:rsidR="003A3E99" w:rsidRDefault="003A3E99" w:rsidP="003A3E99">
      <w:pPr>
        <w:pStyle w:val="Reference"/>
        <w:rPr>
          <w:szCs w:val="20"/>
        </w:rPr>
      </w:pPr>
      <w:r w:rsidRPr="00D9001D">
        <w:t>R4-2</w:t>
      </w:r>
      <w:r>
        <w:t>315444</w:t>
      </w:r>
      <w:r w:rsidRPr="00D9001D">
        <w:rPr>
          <w:szCs w:val="20"/>
        </w:rPr>
        <w:t xml:space="preserve">, </w:t>
      </w:r>
      <w:r w:rsidR="0064202E">
        <w:rPr>
          <w:szCs w:val="20"/>
        </w:rPr>
        <w:t>Non-synchronized</w:t>
      </w:r>
      <w:r>
        <w:rPr>
          <w:szCs w:val="20"/>
        </w:rPr>
        <w:t xml:space="preserve"> scenarios network layout</w:t>
      </w:r>
      <w:r w:rsidRPr="00D9001D">
        <w:rPr>
          <w:szCs w:val="20"/>
        </w:rPr>
        <w:t>, Ericsson, RAN4#10</w:t>
      </w:r>
      <w:r>
        <w:rPr>
          <w:szCs w:val="20"/>
        </w:rPr>
        <w:t>8-bis</w:t>
      </w:r>
    </w:p>
    <w:p w14:paraId="5EDA611D" w14:textId="77777777" w:rsidR="004D63F7" w:rsidRDefault="004D63F7" w:rsidP="004D63F7">
      <w:pPr>
        <w:pStyle w:val="Reference"/>
        <w:rPr>
          <w:szCs w:val="20"/>
        </w:rPr>
      </w:pPr>
      <w:bookmarkStart w:id="13" w:name="_Ref125980250"/>
      <w:r w:rsidRPr="00FD7A9B">
        <w:rPr>
          <w:rFonts w:cs="Arial"/>
          <w:bCs/>
          <w:lang w:val="en-GB"/>
        </w:rPr>
        <w:t>R4-2314755, WF on ATG co-existence evaluation, CMCC, RAN4#108.</w:t>
      </w:r>
      <w:bookmarkEnd w:id="13"/>
    </w:p>
    <w:p w14:paraId="4D4E2EA9" w14:textId="7AF7F224" w:rsidR="004D63F7" w:rsidRPr="00862273" w:rsidRDefault="0064202E" w:rsidP="00862273">
      <w:pPr>
        <w:pStyle w:val="Reference"/>
        <w:rPr>
          <w:rFonts w:cs="Arial"/>
          <w:lang w:val="sv-SE" w:eastAsia="ja-JP"/>
        </w:rPr>
      </w:pPr>
      <w:r w:rsidRPr="00FD7A9B">
        <w:rPr>
          <w:rFonts w:cs="Arial"/>
          <w:bCs/>
          <w:lang w:val="sv-SE"/>
        </w:rPr>
        <w:t>R4-2312291, 3GPP TR 38.876 V0.5.0 (2023-08), RAN4#108</w:t>
      </w:r>
    </w:p>
    <w:sectPr w:rsidR="004D63F7" w:rsidRPr="00862273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FF580" w14:textId="77777777" w:rsidR="00C17E6B" w:rsidRDefault="00C17E6B">
      <w:pPr>
        <w:spacing w:after="0" w:line="240" w:lineRule="auto"/>
      </w:pPr>
      <w:r>
        <w:separator/>
      </w:r>
    </w:p>
  </w:endnote>
  <w:endnote w:type="continuationSeparator" w:id="0">
    <w:p w14:paraId="720D83E6" w14:textId="77777777" w:rsidR="00C17E6B" w:rsidRDefault="00C17E6B">
      <w:pPr>
        <w:spacing w:after="0" w:line="240" w:lineRule="auto"/>
      </w:pPr>
      <w:r>
        <w:continuationSeparator/>
      </w:r>
    </w:p>
  </w:endnote>
  <w:endnote w:type="continuationNotice" w:id="1">
    <w:p w14:paraId="47BBB8F3" w14:textId="77777777" w:rsidR="00C17E6B" w:rsidRDefault="00C17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000000" w:rsidRDefault="002D161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1626" w14:textId="77777777" w:rsidR="00C17E6B" w:rsidRDefault="00C17E6B">
      <w:pPr>
        <w:spacing w:after="0" w:line="240" w:lineRule="auto"/>
      </w:pPr>
      <w:r>
        <w:separator/>
      </w:r>
    </w:p>
  </w:footnote>
  <w:footnote w:type="continuationSeparator" w:id="0">
    <w:p w14:paraId="26A5E9F7" w14:textId="77777777" w:rsidR="00C17E6B" w:rsidRDefault="00C17E6B">
      <w:pPr>
        <w:spacing w:after="0" w:line="240" w:lineRule="auto"/>
      </w:pPr>
      <w:r>
        <w:continuationSeparator/>
      </w:r>
    </w:p>
  </w:footnote>
  <w:footnote w:type="continuationNotice" w:id="1">
    <w:p w14:paraId="09DC2BD3" w14:textId="77777777" w:rsidR="00C17E6B" w:rsidRDefault="00C17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000000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2"/>
  </w:num>
  <w:num w:numId="3" w16cid:durableId="1597325116">
    <w:abstractNumId w:val="5"/>
  </w:num>
  <w:num w:numId="4" w16cid:durableId="720635610">
    <w:abstractNumId w:val="1"/>
  </w:num>
  <w:num w:numId="5" w16cid:durableId="416291258">
    <w:abstractNumId w:val="3"/>
  </w:num>
  <w:num w:numId="6" w16cid:durableId="487863924">
    <w:abstractNumId w:val="0"/>
  </w:num>
  <w:num w:numId="7" w16cid:durableId="1741247155">
    <w:abstractNumId w:val="8"/>
  </w:num>
  <w:num w:numId="8" w16cid:durableId="1498157732">
    <w:abstractNumId w:val="7"/>
  </w:num>
  <w:num w:numId="9" w16cid:durableId="15389329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126CD"/>
    <w:rsid w:val="00020F3E"/>
    <w:rsid w:val="00025FE8"/>
    <w:rsid w:val="000551EB"/>
    <w:rsid w:val="00055263"/>
    <w:rsid w:val="00062AC6"/>
    <w:rsid w:val="00084A5D"/>
    <w:rsid w:val="00094EB7"/>
    <w:rsid w:val="000978C1"/>
    <w:rsid w:val="000A4A13"/>
    <w:rsid w:val="000C0771"/>
    <w:rsid w:val="000C4F2A"/>
    <w:rsid w:val="000D1F5D"/>
    <w:rsid w:val="000D679F"/>
    <w:rsid w:val="000D7B41"/>
    <w:rsid w:val="000E315B"/>
    <w:rsid w:val="000F13ED"/>
    <w:rsid w:val="001054F0"/>
    <w:rsid w:val="001163D6"/>
    <w:rsid w:val="00122A5D"/>
    <w:rsid w:val="001277DA"/>
    <w:rsid w:val="0014411B"/>
    <w:rsid w:val="0014626D"/>
    <w:rsid w:val="00171F3F"/>
    <w:rsid w:val="00182F8A"/>
    <w:rsid w:val="001B17DD"/>
    <w:rsid w:val="001B3A05"/>
    <w:rsid w:val="001D28C9"/>
    <w:rsid w:val="001E0109"/>
    <w:rsid w:val="001E1094"/>
    <w:rsid w:val="001E5321"/>
    <w:rsid w:val="001E774F"/>
    <w:rsid w:val="001F5728"/>
    <w:rsid w:val="00211ACD"/>
    <w:rsid w:val="00212A72"/>
    <w:rsid w:val="00221FF4"/>
    <w:rsid w:val="00241E78"/>
    <w:rsid w:val="002461F2"/>
    <w:rsid w:val="00285A24"/>
    <w:rsid w:val="00297142"/>
    <w:rsid w:val="002A4EBC"/>
    <w:rsid w:val="002C1781"/>
    <w:rsid w:val="002C675E"/>
    <w:rsid w:val="002D1618"/>
    <w:rsid w:val="002D2C7F"/>
    <w:rsid w:val="002D2FC6"/>
    <w:rsid w:val="002F68B4"/>
    <w:rsid w:val="00301D08"/>
    <w:rsid w:val="00306699"/>
    <w:rsid w:val="0032013E"/>
    <w:rsid w:val="0032582B"/>
    <w:rsid w:val="00357A51"/>
    <w:rsid w:val="00364F9C"/>
    <w:rsid w:val="0036519A"/>
    <w:rsid w:val="00374F20"/>
    <w:rsid w:val="00382A63"/>
    <w:rsid w:val="003840E6"/>
    <w:rsid w:val="003877F6"/>
    <w:rsid w:val="003907CD"/>
    <w:rsid w:val="00396163"/>
    <w:rsid w:val="003A1864"/>
    <w:rsid w:val="003A2FB6"/>
    <w:rsid w:val="003A3E99"/>
    <w:rsid w:val="003B0C0B"/>
    <w:rsid w:val="003B55AA"/>
    <w:rsid w:val="003F7176"/>
    <w:rsid w:val="00401A6C"/>
    <w:rsid w:val="00406E69"/>
    <w:rsid w:val="00422113"/>
    <w:rsid w:val="004247D7"/>
    <w:rsid w:val="004273D2"/>
    <w:rsid w:val="00440614"/>
    <w:rsid w:val="004410D6"/>
    <w:rsid w:val="004413C7"/>
    <w:rsid w:val="00442429"/>
    <w:rsid w:val="00464D52"/>
    <w:rsid w:val="00481144"/>
    <w:rsid w:val="004847DE"/>
    <w:rsid w:val="004852F4"/>
    <w:rsid w:val="004A4142"/>
    <w:rsid w:val="004A68E4"/>
    <w:rsid w:val="004B108D"/>
    <w:rsid w:val="004B7D09"/>
    <w:rsid w:val="004D0845"/>
    <w:rsid w:val="004D370C"/>
    <w:rsid w:val="004D45DF"/>
    <w:rsid w:val="004D63F7"/>
    <w:rsid w:val="004E43FE"/>
    <w:rsid w:val="00507EE5"/>
    <w:rsid w:val="00514C37"/>
    <w:rsid w:val="00515B49"/>
    <w:rsid w:val="005334B6"/>
    <w:rsid w:val="005362AD"/>
    <w:rsid w:val="00545A30"/>
    <w:rsid w:val="005567B8"/>
    <w:rsid w:val="00562C38"/>
    <w:rsid w:val="0059024F"/>
    <w:rsid w:val="005A3C3E"/>
    <w:rsid w:val="005A5FF9"/>
    <w:rsid w:val="005B163A"/>
    <w:rsid w:val="005B25F3"/>
    <w:rsid w:val="005C1E08"/>
    <w:rsid w:val="005D581F"/>
    <w:rsid w:val="005E6EBC"/>
    <w:rsid w:val="005E7C87"/>
    <w:rsid w:val="005F227B"/>
    <w:rsid w:val="005F23FA"/>
    <w:rsid w:val="00604627"/>
    <w:rsid w:val="0063725D"/>
    <w:rsid w:val="0064202E"/>
    <w:rsid w:val="00645F81"/>
    <w:rsid w:val="00662230"/>
    <w:rsid w:val="006868FE"/>
    <w:rsid w:val="006948C3"/>
    <w:rsid w:val="006A1354"/>
    <w:rsid w:val="006A6EBD"/>
    <w:rsid w:val="006C592C"/>
    <w:rsid w:val="006D4428"/>
    <w:rsid w:val="006F0527"/>
    <w:rsid w:val="007078D4"/>
    <w:rsid w:val="0071380C"/>
    <w:rsid w:val="00715EE6"/>
    <w:rsid w:val="0072443C"/>
    <w:rsid w:val="00727CC1"/>
    <w:rsid w:val="007556FB"/>
    <w:rsid w:val="007917D2"/>
    <w:rsid w:val="007B3864"/>
    <w:rsid w:val="007D5A10"/>
    <w:rsid w:val="00801166"/>
    <w:rsid w:val="00803547"/>
    <w:rsid w:val="00820045"/>
    <w:rsid w:val="00860371"/>
    <w:rsid w:val="00862273"/>
    <w:rsid w:val="00862626"/>
    <w:rsid w:val="00871B1A"/>
    <w:rsid w:val="00887FFA"/>
    <w:rsid w:val="00892C95"/>
    <w:rsid w:val="0089603A"/>
    <w:rsid w:val="008B54EC"/>
    <w:rsid w:val="008C172A"/>
    <w:rsid w:val="008D7233"/>
    <w:rsid w:val="008E6CE6"/>
    <w:rsid w:val="008F52FD"/>
    <w:rsid w:val="00906223"/>
    <w:rsid w:val="00906A9B"/>
    <w:rsid w:val="00917CA4"/>
    <w:rsid w:val="00922926"/>
    <w:rsid w:val="00943542"/>
    <w:rsid w:val="00967059"/>
    <w:rsid w:val="0097095C"/>
    <w:rsid w:val="00993A9E"/>
    <w:rsid w:val="0099645C"/>
    <w:rsid w:val="009A3D5C"/>
    <w:rsid w:val="009B29AF"/>
    <w:rsid w:val="009C094F"/>
    <w:rsid w:val="009C32CF"/>
    <w:rsid w:val="009E4ED0"/>
    <w:rsid w:val="009E54B5"/>
    <w:rsid w:val="009E7B92"/>
    <w:rsid w:val="009F380B"/>
    <w:rsid w:val="009F3A2B"/>
    <w:rsid w:val="00A02BE7"/>
    <w:rsid w:val="00A12CE2"/>
    <w:rsid w:val="00A16AC9"/>
    <w:rsid w:val="00A23E79"/>
    <w:rsid w:val="00A352B3"/>
    <w:rsid w:val="00A36A83"/>
    <w:rsid w:val="00A372BE"/>
    <w:rsid w:val="00A37A14"/>
    <w:rsid w:val="00A60843"/>
    <w:rsid w:val="00A656C3"/>
    <w:rsid w:val="00A84FE1"/>
    <w:rsid w:val="00AA1229"/>
    <w:rsid w:val="00AA1637"/>
    <w:rsid w:val="00AA5C3C"/>
    <w:rsid w:val="00AB5320"/>
    <w:rsid w:val="00AB73CD"/>
    <w:rsid w:val="00AC0CC5"/>
    <w:rsid w:val="00AD1004"/>
    <w:rsid w:val="00AE09C0"/>
    <w:rsid w:val="00AE2D4A"/>
    <w:rsid w:val="00B2350A"/>
    <w:rsid w:val="00B474C0"/>
    <w:rsid w:val="00B60231"/>
    <w:rsid w:val="00B66D24"/>
    <w:rsid w:val="00B67C1C"/>
    <w:rsid w:val="00B70E3C"/>
    <w:rsid w:val="00B77251"/>
    <w:rsid w:val="00B80B32"/>
    <w:rsid w:val="00B850C0"/>
    <w:rsid w:val="00BA0DF3"/>
    <w:rsid w:val="00BA66B0"/>
    <w:rsid w:val="00BC6974"/>
    <w:rsid w:val="00BF0AAB"/>
    <w:rsid w:val="00C0376D"/>
    <w:rsid w:val="00C17E6B"/>
    <w:rsid w:val="00C32304"/>
    <w:rsid w:val="00C3535C"/>
    <w:rsid w:val="00C37820"/>
    <w:rsid w:val="00C37D5F"/>
    <w:rsid w:val="00C44143"/>
    <w:rsid w:val="00C6008D"/>
    <w:rsid w:val="00CA5AEA"/>
    <w:rsid w:val="00CA79C9"/>
    <w:rsid w:val="00CB14FD"/>
    <w:rsid w:val="00CB6F9A"/>
    <w:rsid w:val="00CC31ED"/>
    <w:rsid w:val="00CD51EE"/>
    <w:rsid w:val="00CE2ADE"/>
    <w:rsid w:val="00D02B8F"/>
    <w:rsid w:val="00D07DF6"/>
    <w:rsid w:val="00D10765"/>
    <w:rsid w:val="00D41931"/>
    <w:rsid w:val="00D5517E"/>
    <w:rsid w:val="00D60F8F"/>
    <w:rsid w:val="00D70847"/>
    <w:rsid w:val="00D72C84"/>
    <w:rsid w:val="00D73A96"/>
    <w:rsid w:val="00D75624"/>
    <w:rsid w:val="00D84CF4"/>
    <w:rsid w:val="00D856CF"/>
    <w:rsid w:val="00DA74F6"/>
    <w:rsid w:val="00DB6768"/>
    <w:rsid w:val="00DD0838"/>
    <w:rsid w:val="00DD3760"/>
    <w:rsid w:val="00DE7E01"/>
    <w:rsid w:val="00DF1EE6"/>
    <w:rsid w:val="00E0074B"/>
    <w:rsid w:val="00E150EA"/>
    <w:rsid w:val="00E27AA8"/>
    <w:rsid w:val="00E34656"/>
    <w:rsid w:val="00E50919"/>
    <w:rsid w:val="00E5477A"/>
    <w:rsid w:val="00E54A87"/>
    <w:rsid w:val="00E61C52"/>
    <w:rsid w:val="00E756DA"/>
    <w:rsid w:val="00E80B91"/>
    <w:rsid w:val="00E97C14"/>
    <w:rsid w:val="00EA258E"/>
    <w:rsid w:val="00EA3F00"/>
    <w:rsid w:val="00EB369B"/>
    <w:rsid w:val="00EB55E5"/>
    <w:rsid w:val="00EC3828"/>
    <w:rsid w:val="00ED23DB"/>
    <w:rsid w:val="00EF13D1"/>
    <w:rsid w:val="00EF59DA"/>
    <w:rsid w:val="00F008B7"/>
    <w:rsid w:val="00F02797"/>
    <w:rsid w:val="00F127E0"/>
    <w:rsid w:val="00F3504B"/>
    <w:rsid w:val="00F4449E"/>
    <w:rsid w:val="00F6386D"/>
    <w:rsid w:val="00F64112"/>
    <w:rsid w:val="00F67006"/>
    <w:rsid w:val="00F70D31"/>
    <w:rsid w:val="00F721E1"/>
    <w:rsid w:val="00F75367"/>
    <w:rsid w:val="00F906E5"/>
    <w:rsid w:val="00F94E07"/>
    <w:rsid w:val="00FC7F1E"/>
    <w:rsid w:val="00FD20C8"/>
    <w:rsid w:val="00FE276B"/>
    <w:rsid w:val="00FE4C8B"/>
    <w:rsid w:val="00FE579C"/>
    <w:rsid w:val="00FE632B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58379929-DB77-4186-8FF0-9DF83F91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  <w:lang w:val="en-US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08D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08D"/>
    <w:rPr>
      <w:rFonts w:ascii="Arial" w:hAnsi="Arial"/>
      <w:b/>
      <w:bCs/>
      <w:sz w:val="20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211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406E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06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SE"/>
    </w:rPr>
  </w:style>
  <w:style w:type="paragraph" w:styleId="TOC2">
    <w:name w:val="toc 2"/>
    <w:basedOn w:val="TOC1"/>
    <w:uiPriority w:val="39"/>
    <w:rsid w:val="00285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851" w:right="425" w:hanging="851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85A2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2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3D509-814E-4734-B267-2A019D94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DB73F-7FF1-40DA-908D-33A8405A8CF8}">
  <ds:schemaRefs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  <ds:schemaRef ds:uri="d8762117-8292-4133-b1c7-eab5c6487cfd"/>
    <ds:schemaRef ds:uri="2f282d3b-eb4a-4b09-b61f-b9593442e286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EBE14D4-CA3B-4499-8BA9-3354EEA32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4</Pages>
  <Words>765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Links>
    <vt:vector size="18" baseType="variant">
      <vt:variant>
        <vt:i4>1114162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_Toc146710457</vt:lpwstr>
      </vt:variant>
      <vt:variant>
        <vt:i4>1572915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_Toc146739759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_Toc146739758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180</cp:revision>
  <dcterms:created xsi:type="dcterms:W3CDTF">2023-05-25T15:25:00Z</dcterms:created>
  <dcterms:modified xsi:type="dcterms:W3CDTF">2023-09-27T18:57:00Z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